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Martonvásári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850"/>
        <w:gridCol w:w="567"/>
        <w:gridCol w:w="1595"/>
      </w:tblGrid>
      <w:tr>
        <w:trPr>
          <w:trHeight w:val="126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61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87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 házszám</w:t>
            </w:r>
          </w:p>
        </w:tc>
      </w:tr>
      <w:tr>
        <w:trPr>
          <w:trHeight w:val="9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………….házszám</w:t>
            </w:r>
          </w:p>
        </w:tc>
      </w:tr>
      <w:tr>
        <w:trPr>
          <w:trHeight w:val="27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:.................................................................</w:t>
            </w:r>
            <w:proofErr w:type="gramEnd"/>
          </w:p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……………………………………………………………...…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keepLines/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 xml:space="preserve">A kérelmező saját háztartásában élő, 12 év alatti, eltartott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gyermeke(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idő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                       Név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: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3.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4. ……………………      …..................................................</w:t>
            </w: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,  melynek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:……………………………….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 hó ….nap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zárónapja: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óra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helyszíni óra</w:t>
            </w:r>
          </w:p>
        </w:tc>
      </w:tr>
      <w:tr>
        <w:trPr>
          <w:trHeight w:val="375"/>
        </w:trPr>
        <w:tc>
          <w:tcPr>
            <w:tcW w:w="81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ben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) …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proofErr w:type="spellStart"/>
            <w:r>
              <w:fldChar w:fldCharType="begin"/>
            </w:r>
            <w:r>
              <w:instrText xml:space="preserve"> HYPERLINK "https://www.google.com/maps/dir/@47.5104414,18.7879812,10z/data=!4m2!4m1!3e0?entry=ttu" </w:instrText>
            </w:r>
            <w:r>
              <w:fldChar w:fldCharType="separate"/>
            </w:r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google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maps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2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felnőttképzési szerződést és mellékleteinek másolatát, vagy ennek hiányában (a felnőttképzési szerződés és mellékletei másolatának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  <w:proofErr w:type="gramEnd"/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>oldalának másolatát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kizárólag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csoportos létszámleépítésben érintett </w:t>
            </w:r>
            <w:r>
              <w:rPr>
                <w:rFonts w:ascii="Arial" w:hAnsi="Arial" w:cs="Arial"/>
                <w:sz w:val="20"/>
                <w:szCs w:val="20"/>
              </w:rPr>
              <w:t>foglalkoztatott kérelmező esetében)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közös háztartásban élő, eltartott 12 éven aluli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Listaszerbekezds"/>
              <w:numPr>
                <w:ilvl w:val="0"/>
                <w:numId w:val="2"/>
              </w:numPr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SZJA adóalap kedvezmény érvényesítésére vonatkozó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3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4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 hó………nap</w:t>
      </w:r>
    </w:p>
    <w:p>
      <w:pPr>
        <w:spacing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kérelmező</w:t>
      </w:r>
      <w:proofErr w:type="gramEnd"/>
      <w:r>
        <w:rPr>
          <w:rFonts w:ascii="Arial" w:hAnsi="Arial" w:cs="Arial"/>
          <w:b/>
          <w:color w:val="000000"/>
          <w:sz w:val="20"/>
          <w:szCs w:val="20"/>
        </w:rPr>
        <w:t xml:space="preserve"> aláírása</w:t>
      </w: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120" w:line="278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A SZÁMOLÓTÁBLA mindössze segédanyag, amely az ügyfeleket segíti a kérelem kitöltésében, de a járási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 gyermekek után 400 Ft/óra x havi átlagos képzési óraszám x gyermekfő, legfeljebb 16.000,- 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Tehát – e megélhetési költségelemen túli – egyéb költségelemek nem kerülhetnek figyelembevételre a juttatás összegének kiszámításakor. </w:t>
      </w:r>
      <w:r>
        <w:rPr>
          <w:rFonts w:ascii="Arial" w:hAnsi="Arial" w:cs="Arial"/>
          <w:sz w:val="20"/>
          <w:szCs w:val="20"/>
        </w:rPr>
        <w:t>Egyéb képzések esetében a fenti óraszám nem értelmezhető, mert nem intenzív a képzés.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költségelem igénylése esetén kötelezően kitöltendő: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 xml:space="preserve">) használatával – „autó” közlekedési eszközzel felajánlott legrövidebb távolság meghatározásával –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3.000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06-25-520-750,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av.gov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2011-195-00-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sz.munka.h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fsz.munka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.martonvasar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4CD4B-F306-4EB2-B4CE-C132003C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1645</Words>
  <Characters>11358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</cp:revision>
  <dcterms:created xsi:type="dcterms:W3CDTF">2025-02-27T06:41:00Z</dcterms:created>
  <dcterms:modified xsi:type="dcterms:W3CDTF">2025-02-27T06:41:00Z</dcterms:modified>
</cp:coreProperties>
</file>